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Ecole ……                                                                                                      Le …/…/2023</w:t>
      </w:r>
    </w:p>
    <w:p>
      <w:pPr>
        <w:pStyle w:val="Normal"/>
        <w:spacing w:lineRule="auto" w:line="480"/>
        <w:jc w:val="right"/>
        <w:rPr>
          <w:sz w:val="28"/>
          <w:szCs w:val="28"/>
        </w:rPr>
      </w:pPr>
      <w:r>
        <w:rPr>
          <w:sz w:val="28"/>
          <w:szCs w:val="28"/>
        </w:rPr>
        <w:t>A Marseille</w:t>
      </w:r>
    </w:p>
    <w:p>
      <w:pPr>
        <w:pStyle w:val="Normal"/>
        <w:spacing w:lineRule="auto" w:line="4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URGENCE DANS NOS ECOLES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 xml:space="preserve">Nous, personnels de l’équipe pédagogique de l’école …………………………….., réunis ce jour en conseil des maitres, sommes solidaires de l’adresse rédigée par nos collègues de l’école élémentaire Kléber. Nous nous joignons à eux pour dénoncer les conditions dans lesquelles nous sommes contraints d’accueillir nos élèves et demandons à ce que les droits et les besoins des élèves accueillis, de leurs familles et des personnels soient respectés. 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 xml:space="preserve">Nous faisons face à des dysfonctionnements dans notre école. </w:t>
      </w:r>
    </w:p>
    <w:p>
      <w:pPr>
        <w:pStyle w:val="ListParagraph"/>
        <w:numPr>
          <w:ilvl w:val="0"/>
          <w:numId w:val="1"/>
        </w:numPr>
        <w:spacing w:lineRule="auto" w:line="48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Dysfonctionnements liés à l’accueil des élèves en général :</w:t>
      </w:r>
    </w:p>
    <w:p>
      <w:pPr>
        <w:pStyle w:val="ListParagraph"/>
        <w:numPr>
          <w:ilvl w:val="1"/>
          <w:numId w:val="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Locaux insuffisants ou espace des locaux inadaptés (classe, cour, réfectoire)</w:t>
      </w:r>
    </w:p>
    <w:p>
      <w:pPr>
        <w:pStyle w:val="ListParagraph"/>
        <w:numPr>
          <w:ilvl w:val="1"/>
          <w:numId w:val="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Répartitions fréquentes liées au manque de remplaçant.es et perturbant le fonctionnement normal de la classe. (Nombre de journées où des enseignant.es n’ont pas été remplacées depuis le 01/09/23 :              )</w:t>
      </w:r>
    </w:p>
    <w:p>
      <w:pPr>
        <w:pStyle w:val="ListParagraph"/>
        <w:numPr>
          <w:ilvl w:val="1"/>
          <w:numId w:val="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Manque de personnels municipaux mettant à mal le fonctionnement de la classe ou de l’école.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48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Dysfonctionnements mettant à mal les droits et les besoins des élèves à besoins éducatifs particuliers :</w:t>
      </w:r>
    </w:p>
    <w:p>
      <w:pPr>
        <w:pStyle w:val="ListParagraph"/>
        <w:numPr>
          <w:ilvl w:val="1"/>
          <w:numId w:val="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 xml:space="preserve">Manque d’heure d’AESH pour les élèves ayant une notification MDPH </w:t>
      </w:r>
      <w:r>
        <w:rPr>
          <w:rStyle w:val="Ancredenotedebasdepage"/>
          <w:sz w:val="28"/>
          <w:szCs w:val="28"/>
        </w:rPr>
        <w:footnoteReference w:id="2"/>
      </w:r>
      <w:r>
        <w:rPr>
          <w:sz w:val="28"/>
          <w:szCs w:val="28"/>
        </w:rPr>
        <w:t>(nombre :       )</w:t>
      </w:r>
    </w:p>
    <w:p>
      <w:pPr>
        <w:pStyle w:val="ListParagraph"/>
        <w:numPr>
          <w:ilvl w:val="1"/>
          <w:numId w:val="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Accueil d’élèves en attente de place dans une structure spécialisée ou dans un dispositif ULIS (nombre :       ).</w:t>
      </w:r>
    </w:p>
    <w:p>
      <w:pPr>
        <w:pStyle w:val="ListParagraph"/>
        <w:numPr>
          <w:ilvl w:val="1"/>
          <w:numId w:val="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 xml:space="preserve">Elèves relevant du dispositif UPE2A mais ne bénéficiant pas des 9 heures de prises en charge. </w:t>
      </w:r>
      <w:r>
        <w:rPr>
          <w:rStyle w:val="Ancredenotedebasdepage"/>
          <w:sz w:val="28"/>
          <w:szCs w:val="28"/>
        </w:rPr>
        <w:footnoteReference w:id="3"/>
      </w:r>
      <w:r>
        <w:rPr>
          <w:sz w:val="28"/>
          <w:szCs w:val="28"/>
        </w:rPr>
        <w:t xml:space="preserve"> (nombre :        )</w:t>
      </w:r>
    </w:p>
    <w:p>
      <w:pPr>
        <w:pStyle w:val="ListParagraph"/>
        <w:numPr>
          <w:ilvl w:val="1"/>
          <w:numId w:val="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Elèves relevant du RASED mais non pris en charge (nombre :     )</w:t>
      </w:r>
    </w:p>
    <w:p>
      <w:pPr>
        <w:pStyle w:val="ListParagraph"/>
        <w:numPr>
          <w:ilvl w:val="1"/>
          <w:numId w:val="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Elèves en attente de bilans médicaux (orthophonie, …)</w:t>
      </w:r>
    </w:p>
    <w:p>
      <w:pPr>
        <w:pStyle w:val="ListParagraph"/>
        <w:numPr>
          <w:ilvl w:val="0"/>
          <w:numId w:val="1"/>
        </w:numPr>
        <w:spacing w:lineRule="auto" w:line="48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Dysfonctionnements concernant la pratique de l’EPS obligatoire</w:t>
      </w:r>
    </w:p>
    <w:p>
      <w:pPr>
        <w:pStyle w:val="ListParagraph"/>
        <w:numPr>
          <w:ilvl w:val="1"/>
          <w:numId w:val="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Difficultés d’accès aux infrastructures (éloignements, transports ,…) ou infrastructures en mauvais état (pollution de l’air, détritus, morceaux de verre…).</w:t>
      </w:r>
    </w:p>
    <w:p>
      <w:pPr>
        <w:pStyle w:val="ListParagraph"/>
        <w:numPr>
          <w:ilvl w:val="1"/>
          <w:numId w:val="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Problèmes rencontrés dans le cadre de la mise en place du savoir nager (piscine fermée, annulation des séances, piscine éloignée, bassin partagé ne permettant pas un apprentissage efficient)</w:t>
      </w:r>
    </w:p>
    <w:p>
      <w:pPr>
        <w:pStyle w:val="ListParagraph"/>
        <w:numPr>
          <w:ilvl w:val="0"/>
          <w:numId w:val="1"/>
        </w:numPr>
        <w:spacing w:lineRule="auto" w:line="48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Dysfonctionnements liés au bâti et risquant de mettre à mal la santé des élèves et des personnels :</w:t>
      </w:r>
    </w:p>
    <w:p>
      <w:pPr>
        <w:pStyle w:val="ListParagraph"/>
        <w:numPr>
          <w:ilvl w:val="1"/>
          <w:numId w:val="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Problèmes récurrents de température dans les locaux (chauffage non enclenché, température excessive lors de fortes chaleurs).</w:t>
      </w:r>
    </w:p>
    <w:p>
      <w:pPr>
        <w:pStyle w:val="ListParagraph"/>
        <w:numPr>
          <w:ilvl w:val="1"/>
          <w:numId w:val="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Problèmes récurrents d’isolation des locaux (fuites d’eau).</w:t>
      </w:r>
    </w:p>
    <w:p>
      <w:pPr>
        <w:pStyle w:val="ListParagraph"/>
        <w:numPr>
          <w:ilvl w:val="1"/>
          <w:numId w:val="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Présence d’amiante ou DTA Amiante manquant ou incomplet.</w:t>
      </w:r>
    </w:p>
    <w:p>
      <w:pPr>
        <w:pStyle w:val="ListParagraph"/>
        <w:numPr>
          <w:ilvl w:val="1"/>
          <w:numId w:val="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Travaux non réalisés.</w:t>
      </w:r>
    </w:p>
    <w:p>
      <w:pPr>
        <w:pStyle w:val="ListParagraph"/>
        <w:numPr>
          <w:ilvl w:val="0"/>
          <w:numId w:val="1"/>
        </w:numPr>
        <w:spacing w:lineRule="auto" w:line="48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Dysfonctionnements liés aux difficultés de prise en charge des situations sociales et économiques des élèves :</w:t>
      </w:r>
    </w:p>
    <w:p>
      <w:pPr>
        <w:pStyle w:val="ListParagraph"/>
        <w:numPr>
          <w:ilvl w:val="1"/>
          <w:numId w:val="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Présence insuffisante de la psychologue scolaire.</w:t>
      </w:r>
    </w:p>
    <w:p>
      <w:pPr>
        <w:pStyle w:val="ListParagraph"/>
        <w:numPr>
          <w:ilvl w:val="1"/>
          <w:numId w:val="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Présence insuffisante de l’infirmière scolaire.</w:t>
      </w:r>
    </w:p>
    <w:p>
      <w:pPr>
        <w:pStyle w:val="ListParagraph"/>
        <w:numPr>
          <w:ilvl w:val="1"/>
          <w:numId w:val="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Difficultés à obtenir un soutien social dans le cadre de l’institution (assistante sociale).</w:t>
      </w:r>
    </w:p>
    <w:p>
      <w:pPr>
        <w:pStyle w:val="ListParagraph"/>
        <w:numPr>
          <w:ilvl w:val="1"/>
          <w:numId w:val="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Présence de familles en grande précarité ; élèves dont les familles rencontrent des difficultés pour satisfaire leurs besoins élémentaires (accès à un logement décent, à des soins, à des vêtements, à de la nourriture).</w:t>
      </w:r>
    </w:p>
    <w:p>
      <w:pPr>
        <w:pStyle w:val="ListParagraph"/>
        <w:numPr>
          <w:ilvl w:val="0"/>
          <w:numId w:val="1"/>
        </w:numPr>
        <w:spacing w:lineRule="auto" w:line="48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Dysfonctionnements liés aux difficultés de prise en charge des situations spécifiques des élèves et de leurs familles :</w:t>
      </w:r>
    </w:p>
    <w:p>
      <w:pPr>
        <w:pStyle w:val="ListParagraph"/>
        <w:numPr>
          <w:ilvl w:val="1"/>
          <w:numId w:val="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Communication difficile ou impossible du fait de la barrière de la langue.</w:t>
      </w:r>
    </w:p>
    <w:p>
      <w:pPr>
        <w:pStyle w:val="ListParagraph"/>
        <w:numPr>
          <w:ilvl w:val="0"/>
          <w:numId w:val="1"/>
        </w:numPr>
        <w:spacing w:lineRule="auto" w:line="48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Dysfonctionnements mettant à mal la santé physique ou mentale des personnels dans le cadre de leur travail :</w:t>
      </w:r>
    </w:p>
    <w:p>
      <w:pPr>
        <w:pStyle w:val="ListParagraph"/>
        <w:numPr>
          <w:ilvl w:val="1"/>
          <w:numId w:val="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Absence de visite de la médecine de prévention.</w:t>
      </w:r>
    </w:p>
    <w:p>
      <w:pPr>
        <w:pStyle w:val="ListParagraph"/>
        <w:numPr>
          <w:ilvl w:val="1"/>
          <w:numId w:val="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Absence de formation lors de l’occupation d’un poste d’enseignements spécifiques (ULIS, UPE2A).</w:t>
      </w:r>
    </w:p>
    <w:p>
      <w:pPr>
        <w:pStyle w:val="ListParagraph"/>
        <w:numPr>
          <w:ilvl w:val="1"/>
          <w:numId w:val="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Présence insuffisante de conseillers pédagogiques, dans le cadre d’un accompagnement pédagogique qu’il soit renforcé ou non.</w:t>
      </w:r>
    </w:p>
    <w:p>
      <w:pPr>
        <w:pStyle w:val="ListParagraph"/>
        <w:numPr>
          <w:ilvl w:val="1"/>
          <w:numId w:val="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Arrêts maladie liés à l’épuisement (burn out)</w:t>
      </w:r>
    </w:p>
    <w:p>
      <w:pPr>
        <w:pStyle w:val="ListParagraph"/>
        <w:numPr>
          <w:ilvl w:val="1"/>
          <w:numId w:val="1"/>
        </w:numPr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Situations mettant à mal la santé physique ou mentale (agressions, accidents du travail, …)</w:t>
      </w:r>
    </w:p>
    <w:p>
      <w:pPr>
        <w:pStyle w:val="ListParagraph"/>
        <w:numPr>
          <w:ilvl w:val="0"/>
          <w:numId w:val="1"/>
        </w:numPr>
        <w:spacing w:lineRule="auto" w:line="48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Autres dysfonctionnements </w:t>
      </w:r>
    </w:p>
    <w:p>
      <w:pPr>
        <w:pStyle w:val="ListParagraph"/>
        <w:numPr>
          <w:ilvl w:val="1"/>
          <w:numId w:val="1"/>
        </w:numPr>
        <w:spacing w:lineRule="auto" w:line="48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ListParagraph"/>
        <w:numPr>
          <w:ilvl w:val="1"/>
          <w:numId w:val="1"/>
        </w:numPr>
        <w:spacing w:lineRule="auto" w:line="48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ListParagraph"/>
        <w:numPr>
          <w:ilvl w:val="1"/>
          <w:numId w:val="1"/>
        </w:numPr>
        <w:spacing w:lineRule="auto" w:line="48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ListParagraph"/>
        <w:numPr>
          <w:ilvl w:val="1"/>
          <w:numId w:val="1"/>
        </w:numPr>
        <w:spacing w:lineRule="auto" w:line="48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ListParagraph"/>
        <w:numPr>
          <w:ilvl w:val="1"/>
          <w:numId w:val="1"/>
        </w:numPr>
        <w:spacing w:lineRule="auto" w:line="48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74"/>
        <w:gridCol w:w="2687"/>
      </w:tblGrid>
      <w:tr>
        <w:trPr/>
        <w:tc>
          <w:tcPr>
            <w:tcW w:w="9061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480" w:before="0" w:after="0"/>
              <w:jc w:val="center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fr-FR" w:eastAsia="en-US" w:bidi="ar-SA"/>
              </w:rPr>
              <w:t>ETATS DES LIEUX école ………………………………………..</w:t>
            </w:r>
          </w:p>
        </w:tc>
      </w:tr>
      <w:tr>
        <w:trPr/>
        <w:tc>
          <w:tcPr>
            <w:tcW w:w="637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fr-FR" w:eastAsia="en-US" w:bidi="ar-SA"/>
              </w:rPr>
              <w:t xml:space="preserve">Nombres d’élèves dans l’école </w:t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637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fr-FR" w:eastAsia="en-US" w:bidi="ar-SA"/>
              </w:rPr>
              <w:t>Equipes de Suivi de Scolarité</w:t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637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fr-FR" w:eastAsia="en-US" w:bidi="ar-SA"/>
              </w:rPr>
              <w:t xml:space="preserve">Equipes éducatives </w:t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637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fr-FR" w:eastAsia="en-US" w:bidi="ar-SA"/>
              </w:rPr>
              <w:t>Mesures AEMO</w:t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637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fr-FR" w:eastAsia="en-US" w:bidi="ar-SA"/>
              </w:rPr>
              <w:t>Informations Préoccupantes rédigées</w:t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637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fr-FR" w:eastAsia="en-US" w:bidi="ar-SA"/>
              </w:rPr>
              <w:t>Signalements pour décrochage scolaire</w:t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637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fr-FR" w:eastAsia="en-US" w:bidi="ar-SA"/>
              </w:rPr>
              <w:t>PPRE</w:t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637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fr-FR" w:eastAsia="en-US" w:bidi="ar-SA"/>
              </w:rPr>
              <w:t>Fiche SST remplie ou en cours</w:t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637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fr-FR" w:eastAsia="en-US" w:bidi="ar-SA"/>
              </w:rPr>
              <w:t>DGI rempli ou en cours</w:t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637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fr-FR" w:eastAsia="en-US" w:bidi="ar-SA"/>
              </w:rPr>
              <w:t>Faits établissements</w:t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637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fr-FR" w:eastAsia="en-US" w:bidi="ar-SA"/>
              </w:rPr>
              <w:t>Accidents du travail</w:t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637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fr-FR" w:eastAsia="en-US" w:bidi="ar-SA"/>
              </w:rPr>
              <w:t xml:space="preserve">Plaintes déposées ou mains courantes </w:t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637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fr-FR" w:eastAsia="en-US" w:bidi="ar-SA"/>
              </w:rPr>
              <w:t>Demandes de protection fonctionnelle</w:t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637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637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637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637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6374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687" w:type="dxa"/>
            <w:tcBorders/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lineRule="auto" w:line="480" w:before="0" w:after="160"/>
        <w:rPr>
          <w:sz w:val="28"/>
          <w:szCs w:val="28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 Light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edebasdepage"/>
        <w:rPr>
          <w:rFonts w:ascii="Calibri Light" w:hAnsi="Calibri Light" w:cs="Calibri Light" w:asciiTheme="majorHAnsi" w:cstheme="majorHAnsi" w:hAnsiTheme="majorHAnsi"/>
        </w:rPr>
      </w:pPr>
      <w:r>
        <w:rPr>
          <w:rStyle w:val="Caractresdenotedebasdepage"/>
        </w:rPr>
        <w:footnoteRef/>
      </w:r>
      <w:r>
        <w:rPr/>
        <w:t xml:space="preserve"> </w:t>
      </w:r>
      <w:r>
        <w:rPr>
          <w:rFonts w:cs="Calibri Light" w:ascii="Calibri Light" w:hAnsi="Calibri Light" w:asciiTheme="majorHAnsi" w:cstheme="majorHAnsi" w:hAnsiTheme="majorHAnsi"/>
          <w:sz w:val="21"/>
          <w:szCs w:val="21"/>
          <w:shd w:fill="FFFFFF" w:val="clear"/>
        </w:rPr>
        <w:t>Il incombe en principe à l’éducation nationale et, partant, à l’État, au titre du service public de l’éducation, de prendre toute mesure pour que le droit à l’éducation pour les enfants en situation de handicap soit effectif (</w:t>
      </w:r>
      <w:r>
        <w:fldChar w:fldCharType="begin"/>
      </w:r>
      <w:r>
        <w:rPr>
          <w:rStyle w:val="LienInternet"/>
          <w:sz w:val="21"/>
          <w:b/>
          <w:shd w:fill="FFFFFF" w:val="clear"/>
          <w:szCs w:val="21"/>
          <w:bCs/>
          <w:rFonts w:cs="Calibri Light" w:ascii="Calibri Light" w:hAnsi="Calibri Light"/>
          <w:color w:val="000000"/>
        </w:rPr>
        <w:instrText xml:space="preserve"> HYPERLINK "https://www.legifrance.gouv.fr/codes/article_lc/LEGIARTI000006524373/2000-06-22" \l ":~:text=Les enfants et adolescents handicapés,commission départementale d'éducation spéciale." \n _blank</w:instrText>
      </w:r>
      <w:r>
        <w:rPr>
          <w:rStyle w:val="LienInternet"/>
          <w:sz w:val="21"/>
          <w:b/>
          <w:shd w:fill="FFFFFF" w:val="clear"/>
          <w:szCs w:val="21"/>
          <w:bCs/>
          <w:rFonts w:cs="Calibri Light" w:ascii="Calibri Light" w:hAnsi="Calibri Light"/>
          <w:color w:val="000000"/>
        </w:rPr>
        <w:fldChar w:fldCharType="separate"/>
      </w:r>
      <w:r>
        <w:rPr>
          <w:rStyle w:val="LienInternet"/>
          <w:rFonts w:cs="Calibri Light" w:ascii="Calibri Light" w:hAnsi="Calibri Light" w:asciiTheme="majorHAnsi" w:cstheme="majorHAnsi" w:hAnsiTheme="majorHAnsi"/>
          <w:b/>
          <w:bCs/>
          <w:color w:val="000000"/>
          <w:sz w:val="21"/>
          <w:szCs w:val="21"/>
          <w:shd w:fill="FFFFFF" w:val="clear"/>
        </w:rPr>
        <w:t>article L.112-1 du Code de l’Éducation</w:t>
      </w:r>
      <w:r>
        <w:rPr>
          <w:rStyle w:val="LienInternet"/>
          <w:sz w:val="21"/>
          <w:b/>
          <w:shd w:fill="FFFFFF" w:val="clear"/>
          <w:szCs w:val="21"/>
          <w:bCs/>
          <w:rFonts w:cs="Calibri Light" w:ascii="Calibri Light" w:hAnsi="Calibri Light"/>
          <w:color w:val="000000"/>
        </w:rPr>
        <w:fldChar w:fldCharType="end"/>
      </w:r>
      <w:r>
        <w:rPr>
          <w:rFonts w:cs="Calibri Light" w:ascii="Calibri Light" w:hAnsi="Calibri Light" w:asciiTheme="majorHAnsi" w:cstheme="majorHAnsi" w:hAnsiTheme="majorHAnsi"/>
          <w:sz w:val="21"/>
          <w:szCs w:val="21"/>
          <w:shd w:fill="FFFFFF" w:val="clear"/>
        </w:rPr>
        <w:t>).</w:t>
      </w:r>
    </w:p>
  </w:footnote>
  <w:footnote w:id="3">
    <w:p>
      <w:pPr>
        <w:pStyle w:val="Notedebasdepage"/>
        <w:rPr/>
      </w:pPr>
      <w:r>
        <w:rPr>
          <w:rStyle w:val="Caractresdenotedebasdepage"/>
        </w:rPr>
        <w:footnoteRef/>
      </w:r>
      <w:r>
        <w:rPr>
          <w:rFonts w:cs="Calibri Light" w:ascii="Calibri Light" w:hAnsi="Calibri Light" w:asciiTheme="majorHAnsi" w:cstheme="majorHAnsi" w:hAnsiTheme="majorHAnsi"/>
        </w:rPr>
        <w:t xml:space="preserve"> </w:t>
      </w:r>
      <w:r>
        <w:rPr>
          <w:rFonts w:cs="Calibri Light" w:ascii="Calibri Light" w:hAnsi="Calibri Light" w:asciiTheme="majorHAnsi" w:cstheme="majorHAnsi" w:hAnsiTheme="majorHAnsi"/>
        </w:rPr>
        <w:t>« </w:t>
      </w:r>
      <w:r>
        <w:rPr>
          <w:rFonts w:cs="Calibri Light" w:ascii="Calibri Light" w:hAnsi="Calibri Light" w:asciiTheme="majorHAnsi" w:cstheme="majorHAnsi" w:hAnsiTheme="majorHAnsi"/>
          <w:sz w:val="21"/>
          <w:szCs w:val="21"/>
        </w:rPr>
        <w:t>au cours de la première année de prise en charge pédagogique par l'UPE2A un enseignement intensif du français d'une durée hebdomadaire de 9 heures minimum dans le premier degré » circulaire n. 2012-141 du 02 10 2012.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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tedebasdepageCar" w:customStyle="1">
    <w:name w:val="Note de bas de page Car"/>
    <w:basedOn w:val="DefaultParagraphFont"/>
    <w:uiPriority w:val="99"/>
    <w:semiHidden/>
    <w:qFormat/>
    <w:rsid w:val="00a6462d"/>
    <w:rPr>
      <w:sz w:val="20"/>
      <w:szCs w:val="20"/>
    </w:rPr>
  </w:style>
  <w:style w:type="character" w:styleId="Caractresdenotedebasdepage">
    <w:name w:val="Caractères de note de bas de page"/>
    <w:basedOn w:val="DefaultParagraphFont"/>
    <w:uiPriority w:val="99"/>
    <w:semiHidden/>
    <w:unhideWhenUsed/>
    <w:qFormat/>
    <w:rsid w:val="00a6462d"/>
    <w:rPr>
      <w:vertAlign w:val="superscript"/>
    </w:rPr>
  </w:style>
  <w:style w:type="character" w:styleId="Ancredenotedebasdepage">
    <w:name w:val="Ancre de note de bas de page"/>
    <w:rPr>
      <w:vertAlign w:val="superscript"/>
    </w:rPr>
  </w:style>
  <w:style w:type="character" w:styleId="NotedefinCar" w:customStyle="1">
    <w:name w:val="Note de fin Car"/>
    <w:basedOn w:val="DefaultParagraphFont"/>
    <w:uiPriority w:val="99"/>
    <w:semiHidden/>
    <w:qFormat/>
    <w:rsid w:val="006646ec"/>
    <w:rPr>
      <w:sz w:val="20"/>
      <w:szCs w:val="20"/>
    </w:rPr>
  </w:style>
  <w:style w:type="character" w:styleId="Caractresdenotedefin">
    <w:name w:val="Caractères de note de fin"/>
    <w:basedOn w:val="DefaultParagraphFont"/>
    <w:uiPriority w:val="99"/>
    <w:semiHidden/>
    <w:unhideWhenUsed/>
    <w:qFormat/>
    <w:rsid w:val="006646ec"/>
    <w:rPr>
      <w:vertAlign w:val="superscript"/>
    </w:rPr>
  </w:style>
  <w:style w:type="character" w:styleId="Ancredenotedefin">
    <w:name w:val="Ancre de note de fin"/>
    <w:rPr>
      <w:vertAlign w:val="superscript"/>
    </w:rPr>
  </w:style>
  <w:style w:type="character" w:styleId="LienInternet">
    <w:name w:val="Lien Internet"/>
    <w:basedOn w:val="DefaultParagraphFont"/>
    <w:uiPriority w:val="99"/>
    <w:semiHidden/>
    <w:unhideWhenUsed/>
    <w:rsid w:val="006646ec"/>
    <w:rPr>
      <w:color w:val="0000FF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23a50"/>
    <w:pPr>
      <w:spacing w:before="0" w:after="160"/>
      <w:ind w:left="720" w:hanging="0"/>
      <w:contextualSpacing/>
    </w:pPr>
    <w:rPr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6462d"/>
    <w:pPr>
      <w:spacing w:lineRule="auto" w:line="240" w:before="0" w:after="0"/>
    </w:pPr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646ec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1326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098C0-92F1-455D-ACC7-0CEE86A6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LibreOffice/7.3.7.2$Linux_X86_64 LibreOffice_project/30$Build-2</Application>
  <AppVersion>15.0000</AppVersion>
  <Pages>4</Pages>
  <Words>691</Words>
  <Characters>3781</Characters>
  <CharactersWithSpaces>4532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2023-12-03T12:39:00Z</dcterms:created>
  <dc:creator>Faouzi Jacquot</dc:creator>
  <dc:description/>
  <dc:language>fr-FR</dc:language>
  <cp:lastModifiedBy>cgteduc</cp:lastModifiedBy>
  <dcterms:modified xsi:type="dcterms:W3CDTF">2023-12-06T10:16:00Z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